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44" w:rsidRDefault="00152444">
      <w:r>
        <w:t>The table below lists all of the changes that have been made to the PR19 Business Plan tables published on 3</w:t>
      </w:r>
      <w:r w:rsidRPr="00152444">
        <w:rPr>
          <w:vertAlign w:val="superscript"/>
        </w:rPr>
        <w:t>rd</w:t>
      </w:r>
      <w:r>
        <w:t xml:space="preserve"> September 2018. The full set of tables have been published in the excel spreadsheet “</w:t>
      </w:r>
      <w:r w:rsidRPr="00152444">
        <w:t>PR19-Business-plan-data-tables--June-2018—WSH (updated 28 Sept 18).</w:t>
      </w:r>
      <w:proofErr w:type="spellStart"/>
      <w:r w:rsidRPr="00152444">
        <w:t>xlsb</w:t>
      </w:r>
      <w:proofErr w:type="spellEnd"/>
      <w:r>
        <w:t>.”</w:t>
      </w:r>
    </w:p>
    <w:tbl>
      <w:tblPr>
        <w:tblW w:w="5000" w:type="pct"/>
        <w:tblLook w:val="04A0" w:firstRow="1" w:lastRow="0" w:firstColumn="1" w:lastColumn="0" w:noHBand="0" w:noVBand="1"/>
      </w:tblPr>
      <w:tblGrid>
        <w:gridCol w:w="1487"/>
        <w:gridCol w:w="2762"/>
        <w:gridCol w:w="2834"/>
        <w:gridCol w:w="2268"/>
        <w:gridCol w:w="4597"/>
      </w:tblGrid>
      <w:tr w:rsidR="001476AD" w:rsidRPr="00C2692A" w:rsidTr="00C2692A">
        <w:trPr>
          <w:trHeight w:val="570"/>
          <w:tblHeader/>
        </w:trPr>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4472C4" w:themeColor="accent5"/>
                <w:sz w:val="20"/>
                <w:szCs w:val="20"/>
                <w:lang w:eastAsia="en-GB"/>
              </w:rPr>
            </w:pPr>
            <w:r w:rsidRPr="00C2692A">
              <w:rPr>
                <w:rFonts w:eastAsia="Times New Roman" w:cs="Arial"/>
                <w:color w:val="4472C4" w:themeColor="accent5"/>
                <w:sz w:val="20"/>
                <w:szCs w:val="20"/>
                <w:lang w:eastAsia="en-GB"/>
              </w:rPr>
              <w:t xml:space="preserve">Table number </w:t>
            </w:r>
          </w:p>
        </w:tc>
        <w:tc>
          <w:tcPr>
            <w:tcW w:w="990" w:type="pct"/>
            <w:tcBorders>
              <w:top w:val="single" w:sz="4" w:space="0" w:color="auto"/>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4472C4" w:themeColor="accent5"/>
                <w:sz w:val="20"/>
                <w:szCs w:val="20"/>
                <w:lang w:eastAsia="en-GB"/>
              </w:rPr>
            </w:pPr>
            <w:r w:rsidRPr="00C2692A">
              <w:rPr>
                <w:rFonts w:eastAsia="Times New Roman" w:cs="Arial"/>
                <w:color w:val="4472C4" w:themeColor="accent5"/>
                <w:sz w:val="20"/>
                <w:szCs w:val="20"/>
                <w:lang w:eastAsia="en-GB"/>
              </w:rPr>
              <w:t xml:space="preserve">Contents </w:t>
            </w:r>
          </w:p>
        </w:tc>
        <w:tc>
          <w:tcPr>
            <w:tcW w:w="1016" w:type="pct"/>
            <w:tcBorders>
              <w:top w:val="single" w:sz="4" w:space="0" w:color="auto"/>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4472C4" w:themeColor="accent5"/>
                <w:sz w:val="20"/>
                <w:szCs w:val="20"/>
                <w:lang w:eastAsia="en-GB"/>
              </w:rPr>
            </w:pPr>
            <w:r w:rsidRPr="00C2692A">
              <w:rPr>
                <w:rFonts w:eastAsia="Times New Roman" w:cs="Times New Roman"/>
                <w:color w:val="4472C4" w:themeColor="accent5"/>
                <w:sz w:val="20"/>
                <w:szCs w:val="20"/>
                <w:lang w:eastAsia="en-GB"/>
              </w:rPr>
              <w:t xml:space="preserve">Line Number </w:t>
            </w:r>
          </w:p>
        </w:tc>
        <w:tc>
          <w:tcPr>
            <w:tcW w:w="813" w:type="pct"/>
            <w:tcBorders>
              <w:top w:val="single" w:sz="4" w:space="0" w:color="auto"/>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4472C4" w:themeColor="accent5"/>
                <w:sz w:val="20"/>
                <w:szCs w:val="20"/>
                <w:lang w:eastAsia="en-GB"/>
              </w:rPr>
            </w:pPr>
            <w:r w:rsidRPr="00C2692A">
              <w:rPr>
                <w:rFonts w:eastAsia="Times New Roman" w:cs="Times New Roman"/>
                <w:color w:val="4472C4" w:themeColor="accent5"/>
                <w:sz w:val="20"/>
                <w:szCs w:val="20"/>
                <w:lang w:eastAsia="en-GB"/>
              </w:rPr>
              <w:t xml:space="preserve">Ofwat query Ref </w:t>
            </w:r>
          </w:p>
        </w:tc>
        <w:tc>
          <w:tcPr>
            <w:tcW w:w="1648" w:type="pct"/>
            <w:tcBorders>
              <w:top w:val="single" w:sz="4" w:space="0" w:color="auto"/>
              <w:left w:val="nil"/>
              <w:bottom w:val="single" w:sz="4" w:space="0" w:color="auto"/>
              <w:right w:val="single" w:sz="4" w:space="0" w:color="auto"/>
            </w:tcBorders>
          </w:tcPr>
          <w:p w:rsidR="001476AD" w:rsidRPr="00C2692A" w:rsidRDefault="0001092C" w:rsidP="0001092C">
            <w:pPr>
              <w:spacing w:after="0" w:line="240" w:lineRule="auto"/>
              <w:rPr>
                <w:rFonts w:eastAsia="Times New Roman" w:cs="Times New Roman"/>
                <w:color w:val="4472C4" w:themeColor="accent5"/>
                <w:sz w:val="20"/>
                <w:szCs w:val="20"/>
                <w:lang w:eastAsia="en-GB"/>
              </w:rPr>
            </w:pPr>
            <w:r>
              <w:rPr>
                <w:rFonts w:eastAsia="Times New Roman" w:cs="Times New Roman"/>
                <w:color w:val="4472C4" w:themeColor="accent5"/>
                <w:sz w:val="20"/>
                <w:szCs w:val="20"/>
                <w:lang w:eastAsia="en-GB"/>
              </w:rPr>
              <w:t>Description of other c</w:t>
            </w:r>
            <w:r w:rsidR="001476AD" w:rsidRPr="00C2692A">
              <w:rPr>
                <w:rFonts w:eastAsia="Times New Roman" w:cs="Times New Roman"/>
                <w:color w:val="4472C4" w:themeColor="accent5"/>
                <w:sz w:val="20"/>
                <w:szCs w:val="20"/>
                <w:lang w:eastAsia="en-GB"/>
              </w:rPr>
              <w:t>hange</w:t>
            </w:r>
            <w:r>
              <w:rPr>
                <w:rFonts w:eastAsia="Times New Roman" w:cs="Times New Roman"/>
                <w:color w:val="4472C4" w:themeColor="accent5"/>
                <w:sz w:val="20"/>
                <w:szCs w:val="20"/>
                <w:lang w:eastAsia="en-GB"/>
              </w:rPr>
              <w:t>s</w:t>
            </w:r>
          </w:p>
        </w:tc>
      </w:tr>
      <w:tr w:rsidR="001476AD" w:rsidRPr="00C2692A" w:rsidTr="001476AD">
        <w:trPr>
          <w:trHeight w:val="210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App1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Performance commitments (PCs) and outcome delivery incentives (ODIs)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D51DDF"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w:t>
            </w:r>
            <w:r w:rsidR="001476AD" w:rsidRPr="00C2692A">
              <w:rPr>
                <w:rFonts w:eastAsia="Times New Roman" w:cs="Times New Roman"/>
                <w:color w:val="000000"/>
                <w:sz w:val="20"/>
                <w:szCs w:val="20"/>
                <w:lang w:eastAsia="en-GB"/>
              </w:rPr>
              <w:t>ine 23</w:t>
            </w:r>
            <w:r w:rsidRPr="00C2692A">
              <w:rPr>
                <w:rFonts w:eastAsia="Times New Roman" w:cs="Times New Roman"/>
                <w:color w:val="000000"/>
                <w:sz w:val="20"/>
                <w:szCs w:val="20"/>
                <w:lang w:eastAsia="en-GB"/>
              </w:rPr>
              <w:t xml:space="preserve"> </w:t>
            </w:r>
          </w:p>
          <w:p w:rsidR="00D51DDF" w:rsidRPr="00C2692A" w:rsidRDefault="00D51DDF" w:rsidP="00C2692A">
            <w:pPr>
              <w:spacing w:after="0" w:line="240" w:lineRule="auto"/>
              <w:rPr>
                <w:rFonts w:eastAsia="Times New Roman" w:cs="Times New Roman"/>
                <w:color w:val="000000"/>
                <w:sz w:val="20"/>
                <w:szCs w:val="20"/>
                <w:lang w:eastAsia="en-GB"/>
              </w:rPr>
            </w:pPr>
          </w:p>
          <w:p w:rsidR="001476AD" w:rsidRPr="00C2692A" w:rsidRDefault="00197B84"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3</w:t>
            </w:r>
            <w:r w:rsidR="001476AD" w:rsidRPr="00C2692A">
              <w:rPr>
                <w:rFonts w:eastAsia="Times New Roman" w:cs="Times New Roman"/>
                <w:color w:val="000000"/>
                <w:sz w:val="20"/>
                <w:szCs w:val="20"/>
                <w:lang w:eastAsia="en-GB"/>
              </w:rPr>
              <w:t>5</w:t>
            </w:r>
            <w:r w:rsidRPr="00C2692A">
              <w:rPr>
                <w:rFonts w:eastAsia="Times New Roman" w:cs="Times New Roman"/>
                <w:color w:val="000000"/>
                <w:sz w:val="20"/>
                <w:szCs w:val="20"/>
                <w:lang w:eastAsia="en-GB"/>
              </w:rPr>
              <w:t xml:space="preserve">  Cells AP41 to AU41</w:t>
            </w:r>
          </w:p>
          <w:p w:rsidR="00D51DDF" w:rsidRPr="00C2692A" w:rsidRDefault="00D51DDF" w:rsidP="00C2692A">
            <w:pPr>
              <w:spacing w:after="0" w:line="240" w:lineRule="auto"/>
              <w:rPr>
                <w:rFonts w:eastAsia="Times New Roman" w:cs="Times New Roman"/>
                <w:color w:val="000000"/>
                <w:sz w:val="20"/>
                <w:szCs w:val="20"/>
                <w:lang w:eastAsia="en-GB"/>
              </w:rPr>
            </w:pPr>
          </w:p>
          <w:p w:rsidR="00D51DDF" w:rsidRPr="00C2692A" w:rsidRDefault="00D51DDF"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5</w:t>
            </w:r>
            <w:r w:rsidR="00197B84" w:rsidRPr="00C2692A">
              <w:rPr>
                <w:rFonts w:eastAsia="Times New Roman" w:cs="Times New Roman"/>
                <w:color w:val="000000"/>
                <w:sz w:val="20"/>
                <w:szCs w:val="20"/>
                <w:lang w:eastAsia="en-GB"/>
              </w:rPr>
              <w:t xml:space="preserve"> Cells AP11 to BK11</w:t>
            </w:r>
          </w:p>
          <w:p w:rsidR="00D51DDF" w:rsidRPr="00C2692A" w:rsidRDefault="00D51DDF"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sz w:val="20"/>
                <w:szCs w:val="20"/>
              </w:rPr>
            </w:pPr>
            <w:r w:rsidRPr="00C2692A">
              <w:rPr>
                <w:rFonts w:eastAsia="Times New Roman" w:cs="Times New Roman"/>
                <w:sz w:val="20"/>
                <w:szCs w:val="20"/>
                <w:lang w:eastAsia="en-GB"/>
              </w:rPr>
              <w:t xml:space="preserve">Line 42 Cells </w:t>
            </w:r>
            <w:r w:rsidRPr="00C2692A">
              <w:rPr>
                <w:sz w:val="20"/>
                <w:szCs w:val="20"/>
              </w:rPr>
              <w:t>BV48 to BZ48</w:t>
            </w:r>
          </w:p>
          <w:p w:rsidR="001476AD" w:rsidRPr="00C2692A" w:rsidRDefault="001476AD" w:rsidP="00C2692A">
            <w:pPr>
              <w:spacing w:after="0" w:line="240" w:lineRule="auto"/>
              <w:rPr>
                <w:rFonts w:eastAsia="Times New Roman" w:cs="Times New Roman"/>
                <w:sz w:val="20"/>
                <w:szCs w:val="20"/>
                <w:highlight w:val="yellow"/>
                <w:lang w:eastAsia="en-GB"/>
              </w:rPr>
            </w:pPr>
            <w:r w:rsidRPr="00C2692A">
              <w:rPr>
                <w:sz w:val="20"/>
                <w:szCs w:val="20"/>
              </w:rPr>
              <w:t>BV30 to BZ30</w:t>
            </w:r>
          </w:p>
          <w:p w:rsidR="00C2692A" w:rsidRDefault="00C2692A" w:rsidP="00C2692A">
            <w:pPr>
              <w:spacing w:after="0" w:line="240" w:lineRule="auto"/>
              <w:rPr>
                <w:rFonts w:eastAsia="Times New Roman" w:cs="Times New Roman"/>
                <w:sz w:val="20"/>
                <w:szCs w:val="20"/>
                <w:lang w:eastAsia="en-GB"/>
              </w:rPr>
            </w:pPr>
          </w:p>
          <w:p w:rsidR="00C2692A" w:rsidRPr="00C2692A" w:rsidRDefault="00C2692A" w:rsidP="00C2692A">
            <w:pPr>
              <w:spacing w:after="0" w:line="240" w:lineRule="auto"/>
              <w:rPr>
                <w:rFonts w:eastAsia="Times New Roman" w:cs="Times New Roman"/>
                <w:sz w:val="20"/>
                <w:szCs w:val="20"/>
                <w:lang w:eastAsia="en-GB"/>
              </w:rPr>
            </w:pPr>
          </w:p>
          <w:p w:rsidR="001476AD" w:rsidRPr="00C2692A" w:rsidRDefault="001476AD" w:rsidP="00C2692A">
            <w:pPr>
              <w:spacing w:after="0" w:line="240" w:lineRule="auto"/>
              <w:rPr>
                <w:sz w:val="20"/>
                <w:szCs w:val="20"/>
              </w:rPr>
            </w:pPr>
            <w:r w:rsidRPr="00C2692A">
              <w:rPr>
                <w:rFonts w:eastAsia="Times New Roman" w:cs="Times New Roman"/>
                <w:sz w:val="20"/>
                <w:szCs w:val="20"/>
                <w:lang w:eastAsia="en-GB"/>
              </w:rPr>
              <w:t>Line 24</w:t>
            </w:r>
            <w:r w:rsidR="00104CDA" w:rsidRPr="00C2692A">
              <w:rPr>
                <w:rFonts w:eastAsia="Times New Roman" w:cs="Times New Roman"/>
                <w:sz w:val="20"/>
                <w:szCs w:val="20"/>
                <w:lang w:eastAsia="en-GB"/>
              </w:rPr>
              <w:t xml:space="preserve"> Cells </w:t>
            </w:r>
            <w:r w:rsidRPr="00C2692A">
              <w:rPr>
                <w:sz w:val="20"/>
                <w:szCs w:val="20"/>
              </w:rPr>
              <w:t>CK30 to CO30</w:t>
            </w:r>
            <w:r w:rsidR="00104CDA" w:rsidRPr="00C2692A">
              <w:rPr>
                <w:sz w:val="20"/>
                <w:szCs w:val="20"/>
              </w:rPr>
              <w:t xml:space="preserve"> and</w:t>
            </w:r>
          </w:p>
          <w:p w:rsidR="001476AD" w:rsidRDefault="001476AD" w:rsidP="00C2692A">
            <w:pPr>
              <w:spacing w:after="0" w:line="240" w:lineRule="auto"/>
              <w:rPr>
                <w:sz w:val="20"/>
                <w:szCs w:val="20"/>
              </w:rPr>
            </w:pPr>
            <w:r w:rsidRPr="00C2692A">
              <w:rPr>
                <w:sz w:val="20"/>
                <w:szCs w:val="20"/>
              </w:rPr>
              <w:t>CU30 and CY30</w:t>
            </w:r>
          </w:p>
          <w:p w:rsidR="00DA3A19" w:rsidRDefault="00DA3A19" w:rsidP="00C2692A">
            <w:pPr>
              <w:spacing w:after="0" w:line="240" w:lineRule="auto"/>
              <w:rPr>
                <w:sz w:val="20"/>
                <w:szCs w:val="20"/>
              </w:rPr>
            </w:pPr>
          </w:p>
          <w:p w:rsidR="00DA3A19" w:rsidRDefault="00DA3A19" w:rsidP="00C2692A">
            <w:pPr>
              <w:spacing w:after="0" w:line="240" w:lineRule="auto"/>
              <w:rPr>
                <w:sz w:val="20"/>
                <w:szCs w:val="20"/>
              </w:rPr>
            </w:pPr>
          </w:p>
          <w:p w:rsidR="00DA3A19" w:rsidRDefault="00DA3A19" w:rsidP="00C2692A">
            <w:pPr>
              <w:spacing w:after="0" w:line="240" w:lineRule="auto"/>
              <w:rPr>
                <w:sz w:val="20"/>
                <w:szCs w:val="20"/>
              </w:rPr>
            </w:pPr>
          </w:p>
          <w:p w:rsidR="00DA3A19" w:rsidRPr="00C2692A" w:rsidRDefault="00DA3A19" w:rsidP="00C2692A">
            <w:pPr>
              <w:spacing w:after="0" w:line="240" w:lineRule="auto"/>
              <w:rPr>
                <w:sz w:val="20"/>
                <w:szCs w:val="20"/>
              </w:rPr>
            </w:pPr>
            <w:r>
              <w:rPr>
                <w:sz w:val="20"/>
              </w:rPr>
              <w:t xml:space="preserve">Line 19 </w:t>
            </w:r>
            <w:bookmarkStart w:id="0" w:name="_GoBack"/>
            <w:bookmarkEnd w:id="0"/>
            <w:r w:rsidRPr="00DA3A19">
              <w:rPr>
                <w:sz w:val="20"/>
              </w:rPr>
              <w:t>Cells BV25-BZ25</w:t>
            </w:r>
          </w:p>
        </w:tc>
        <w:tc>
          <w:tcPr>
            <w:tcW w:w="813" w:type="pct"/>
            <w:tcBorders>
              <w:top w:val="nil"/>
              <w:left w:val="nil"/>
              <w:bottom w:val="single" w:sz="4" w:space="0" w:color="auto"/>
              <w:right w:val="single" w:sz="4" w:space="0" w:color="auto"/>
            </w:tcBorders>
            <w:shd w:val="clear" w:color="auto" w:fill="auto"/>
            <w:hideMark/>
          </w:tcPr>
          <w:p w:rsidR="00D51DDF"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WSH-IAP-OC-001</w:t>
            </w:r>
          </w:p>
          <w:p w:rsidR="00D51DDF" w:rsidRPr="00C2692A" w:rsidRDefault="00D51DDF"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WSH-IAP-OC-002</w:t>
            </w:r>
          </w:p>
          <w:p w:rsidR="00D51DDF" w:rsidRPr="00C2692A" w:rsidRDefault="00D51DDF" w:rsidP="00C2692A">
            <w:pPr>
              <w:spacing w:after="0" w:line="240" w:lineRule="auto"/>
              <w:rPr>
                <w:rFonts w:eastAsia="Times New Roman" w:cs="Times New Roman"/>
                <w:color w:val="000000"/>
                <w:sz w:val="20"/>
                <w:szCs w:val="20"/>
                <w:lang w:eastAsia="en-GB"/>
              </w:rPr>
            </w:pPr>
          </w:p>
          <w:p w:rsidR="001476AD" w:rsidRPr="00C2692A" w:rsidRDefault="00D51DDF"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WSH-IAP-OC-003</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p>
          <w:p w:rsidR="00197B84" w:rsidRPr="00C2692A" w:rsidRDefault="00197B84" w:rsidP="00C2692A">
            <w:pPr>
              <w:spacing w:after="0" w:line="240" w:lineRule="auto"/>
              <w:rPr>
                <w:rFonts w:eastAsia="Times New Roman" w:cs="Times New Roman"/>
                <w:color w:val="000000"/>
                <w:sz w:val="20"/>
                <w:szCs w:val="20"/>
                <w:highlight w:val="yellow"/>
                <w:lang w:eastAsia="en-GB"/>
              </w:rPr>
            </w:pPr>
          </w:p>
          <w:p w:rsidR="00C2692A" w:rsidRDefault="00C2692A" w:rsidP="00C2692A">
            <w:pPr>
              <w:spacing w:after="0" w:line="240" w:lineRule="auto"/>
              <w:rPr>
                <w:sz w:val="20"/>
                <w:szCs w:val="20"/>
              </w:rPr>
            </w:pPr>
            <w:r w:rsidRPr="00C2692A">
              <w:rPr>
                <w:sz w:val="20"/>
                <w:szCs w:val="20"/>
              </w:rPr>
              <w:t>FT9- Asset Resilience (Waste Network+ below ground</w:t>
            </w:r>
            <w:proofErr w:type="gramStart"/>
            <w:r w:rsidRPr="00C2692A">
              <w:rPr>
                <w:sz w:val="20"/>
                <w:szCs w:val="20"/>
              </w:rPr>
              <w:t>)-</w:t>
            </w:r>
            <w:proofErr w:type="gramEnd"/>
            <w:r w:rsidRPr="00C2692A">
              <w:rPr>
                <w:sz w:val="20"/>
                <w:szCs w:val="20"/>
              </w:rPr>
              <w:t xml:space="preserve"> The underperformance penalty collar has been updated as the original data was mistyped. </w:t>
            </w:r>
          </w:p>
          <w:p w:rsidR="00C2692A" w:rsidRPr="00C2692A" w:rsidRDefault="00C2692A" w:rsidP="00C2692A">
            <w:pPr>
              <w:spacing w:after="0" w:line="240" w:lineRule="auto"/>
              <w:rPr>
                <w:sz w:val="20"/>
                <w:szCs w:val="20"/>
              </w:rPr>
            </w:pPr>
          </w:p>
          <w:p w:rsidR="001476AD" w:rsidRDefault="00C2692A"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RT2- Sewer flooding on customer property (external</w:t>
            </w:r>
            <w:proofErr w:type="gramStart"/>
            <w:r w:rsidRPr="00C2692A">
              <w:rPr>
                <w:rFonts w:eastAsia="Times New Roman" w:cs="Times New Roman"/>
                <w:color w:val="000000"/>
                <w:sz w:val="20"/>
                <w:szCs w:val="20"/>
                <w:lang w:eastAsia="en-GB"/>
              </w:rPr>
              <w:t>)-</w:t>
            </w:r>
            <w:proofErr w:type="gramEnd"/>
            <w:r w:rsidRPr="00C2692A">
              <w:rPr>
                <w:rFonts w:eastAsia="Times New Roman" w:cs="Times New Roman"/>
                <w:color w:val="000000"/>
                <w:sz w:val="20"/>
                <w:szCs w:val="20"/>
                <w:lang w:eastAsia="en-GB"/>
              </w:rPr>
              <w:t xml:space="preserve"> The underperformance penalty collar and rate were inserted in the outperformance cap and rate and vice versa. This has been updated.</w:t>
            </w:r>
          </w:p>
          <w:p w:rsidR="00DA3A19" w:rsidRDefault="00DA3A19" w:rsidP="00C2692A">
            <w:pPr>
              <w:spacing w:after="0" w:line="240" w:lineRule="auto"/>
              <w:rPr>
                <w:rFonts w:eastAsia="Times New Roman" w:cs="Times New Roman"/>
                <w:color w:val="000000"/>
                <w:sz w:val="20"/>
                <w:szCs w:val="20"/>
                <w:lang w:eastAsia="en-GB"/>
              </w:rPr>
            </w:pPr>
          </w:p>
          <w:p w:rsidR="00DA3A19" w:rsidRPr="00DA3A19" w:rsidRDefault="00DA3A19" w:rsidP="00DA3A19">
            <w:r w:rsidRPr="00DA3A19">
              <w:rPr>
                <w:sz w:val="20"/>
              </w:rPr>
              <w:t>Sv3- Customer Trust- Updated to include a negative sign for the un</w:t>
            </w:r>
            <w:r w:rsidRPr="00DA3A19">
              <w:rPr>
                <w:sz w:val="20"/>
              </w:rPr>
              <w:t xml:space="preserve">derperformance penalty collar. </w:t>
            </w:r>
          </w:p>
        </w:tc>
      </w:tr>
      <w:tr w:rsidR="001476AD" w:rsidRPr="00C2692A" w:rsidTr="001476AD">
        <w:trPr>
          <w:trHeight w:val="60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App4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Customer metrics (proposed)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11</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WSH-IAP-AV-003</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tc>
      </w:tr>
      <w:tr w:rsidR="001476AD" w:rsidRPr="00C2692A" w:rsidTr="001476AD">
        <w:trPr>
          <w:trHeight w:val="60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App20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Cost of debt / analysis of debt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All lines</w:t>
            </w:r>
          </w:p>
        </w:tc>
        <w:tc>
          <w:tcPr>
            <w:tcW w:w="813" w:type="pct"/>
            <w:tcBorders>
              <w:top w:val="nil"/>
              <w:left w:val="nil"/>
              <w:bottom w:val="single" w:sz="4" w:space="0" w:color="auto"/>
              <w:right w:val="single" w:sz="4" w:space="0" w:color="auto"/>
            </w:tcBorders>
            <w:shd w:val="clear" w:color="auto" w:fill="auto"/>
            <w:hideMark/>
          </w:tcPr>
          <w:p w:rsidR="001476AD" w:rsidRPr="00C2692A" w:rsidRDefault="004C038D" w:rsidP="00C2692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WSH-IAP-RR-001</w:t>
            </w:r>
          </w:p>
          <w:p w:rsidR="001476AD" w:rsidRPr="00C2692A" w:rsidRDefault="001476AD" w:rsidP="00C2692A">
            <w:pPr>
              <w:spacing w:after="0" w:line="240" w:lineRule="auto"/>
              <w:rPr>
                <w:rFonts w:eastAsia="Times New Roman" w:cs="Times New Roman"/>
                <w:color w:val="000000"/>
                <w:sz w:val="20"/>
                <w:szCs w:val="20"/>
                <w:lang w:eastAsia="en-GB"/>
              </w:rPr>
            </w:pPr>
          </w:p>
        </w:tc>
        <w:tc>
          <w:tcPr>
            <w:tcW w:w="1648" w:type="pct"/>
            <w:tcBorders>
              <w:top w:val="nil"/>
              <w:left w:val="nil"/>
              <w:bottom w:val="single" w:sz="4" w:space="0" w:color="auto"/>
              <w:right w:val="single" w:sz="4" w:space="0" w:color="auto"/>
            </w:tcBorders>
          </w:tcPr>
          <w:p w:rsidR="00C2692A" w:rsidRPr="00C2692A" w:rsidRDefault="00C2692A" w:rsidP="00C2692A">
            <w:pPr>
              <w:spacing w:after="0" w:line="240" w:lineRule="auto"/>
              <w:rPr>
                <w:sz w:val="20"/>
                <w:szCs w:val="20"/>
              </w:rPr>
            </w:pPr>
            <w:r w:rsidRPr="00C2692A">
              <w:rPr>
                <w:sz w:val="20"/>
                <w:szCs w:val="20"/>
              </w:rPr>
              <w:t xml:space="preserve">We have updated App20 </w:t>
            </w:r>
            <w:r w:rsidR="00152444">
              <w:rPr>
                <w:sz w:val="20"/>
                <w:szCs w:val="20"/>
              </w:rPr>
              <w:t xml:space="preserve">subsequent to our </w:t>
            </w:r>
            <w:r w:rsidRPr="00C2692A">
              <w:rPr>
                <w:sz w:val="20"/>
                <w:szCs w:val="20"/>
              </w:rPr>
              <w:t xml:space="preserve">response to query WSH_IAP_RR_001. </w:t>
            </w:r>
          </w:p>
          <w:p w:rsidR="00C2692A" w:rsidRPr="00C2692A" w:rsidRDefault="00C2692A" w:rsidP="00C2692A">
            <w:pPr>
              <w:spacing w:after="0" w:line="240" w:lineRule="auto"/>
              <w:rPr>
                <w:sz w:val="20"/>
                <w:szCs w:val="20"/>
              </w:rPr>
            </w:pPr>
            <w:r w:rsidRPr="00C2692A">
              <w:rPr>
                <w:sz w:val="20"/>
                <w:szCs w:val="20"/>
              </w:rPr>
              <w:t xml:space="preserve">The total value of debt per the balance sheet at 31 March 2018 now agrees to the APR. We have changed our approach to how index linked swaps have been represented in App20 and now show the underlying instruments and both legs of each swap separately.  Please note that the line commentaries are therefore out of date. The nominal interest and cash interest payments will not agree to the APR due to the assumed RPI inflation rate, actual LIBOR rates, </w:t>
            </w:r>
            <w:r w:rsidRPr="00C2692A">
              <w:rPr>
                <w:sz w:val="20"/>
                <w:szCs w:val="20"/>
              </w:rPr>
              <w:lastRenderedPageBreak/>
              <w:t xml:space="preserve">indexation of the principal balances on some of the index linked instruments and rounding in App20. </w:t>
            </w:r>
          </w:p>
          <w:p w:rsidR="00C2692A" w:rsidRPr="00C2692A" w:rsidRDefault="00C2692A" w:rsidP="00C2692A">
            <w:pPr>
              <w:spacing w:after="0" w:line="240" w:lineRule="auto"/>
              <w:rPr>
                <w:rFonts w:eastAsia="Times New Roman" w:cs="Times New Roman"/>
                <w:color w:val="000000"/>
                <w:sz w:val="20"/>
                <w:szCs w:val="20"/>
                <w:lang w:eastAsia="en-GB"/>
              </w:rPr>
            </w:pPr>
          </w:p>
        </w:tc>
      </w:tr>
      <w:tr w:rsidR="001476AD" w:rsidRPr="00C2692A" w:rsidTr="001476AD">
        <w:trPr>
          <w:trHeight w:val="60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sz w:val="20"/>
                <w:szCs w:val="20"/>
                <w:lang w:eastAsia="en-GB"/>
              </w:rPr>
            </w:pPr>
            <w:r w:rsidRPr="00C2692A">
              <w:rPr>
                <w:rFonts w:eastAsia="Times New Roman" w:cs="Arial"/>
                <w:sz w:val="20"/>
                <w:szCs w:val="20"/>
                <w:lang w:eastAsia="en-GB"/>
              </w:rPr>
              <w:lastRenderedPageBreak/>
              <w:t>App24a</w:t>
            </w:r>
          </w:p>
        </w:tc>
        <w:tc>
          <w:tcPr>
            <w:tcW w:w="990" w:type="pct"/>
            <w:tcBorders>
              <w:top w:val="nil"/>
              <w:left w:val="nil"/>
              <w:bottom w:val="single" w:sz="4" w:space="0" w:color="auto"/>
              <w:right w:val="single" w:sz="4" w:space="0" w:color="auto"/>
            </w:tcBorders>
            <w:shd w:val="clear" w:color="auto" w:fill="auto"/>
            <w:hideMark/>
          </w:tcPr>
          <w:p w:rsidR="001476AD" w:rsidRPr="00C2692A" w:rsidRDefault="00DA3A19" w:rsidP="00C2692A">
            <w:pPr>
              <w:spacing w:after="0" w:line="240" w:lineRule="auto"/>
              <w:rPr>
                <w:rFonts w:eastAsia="Times New Roman" w:cs="Arial"/>
                <w:sz w:val="20"/>
                <w:szCs w:val="20"/>
                <w:lang w:eastAsia="en-GB"/>
              </w:rPr>
            </w:pPr>
            <w:hyperlink r:id="rId7" w:anchor="RANGE!A1" w:history="1">
              <w:r w:rsidR="001476AD" w:rsidRPr="00C2692A">
                <w:rPr>
                  <w:rFonts w:eastAsia="Times New Roman" w:cs="Arial"/>
                  <w:sz w:val="20"/>
                  <w:szCs w:val="20"/>
                  <w:lang w:eastAsia="en-GB"/>
                </w:rPr>
                <w:t>Real price effects (RPEs) and efficiency gains</w:t>
              </w:r>
            </w:hyperlink>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All Lines</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 xml:space="preserve">WSH-IAP-CA-010 </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tc>
      </w:tr>
      <w:tr w:rsidR="001476AD" w:rsidRPr="00C2692A" w:rsidTr="001476AD">
        <w:trPr>
          <w:trHeight w:val="51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WS3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Wholesale water properties and population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16</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WSH-IAP-CA-003</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tc>
      </w:tr>
      <w:tr w:rsidR="001476AD" w:rsidRPr="00C2692A" w:rsidTr="001476AD">
        <w:trPr>
          <w:trHeight w:val="51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WS4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Wholesale water other (explanatory variables)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2</w:t>
            </w:r>
            <w:r w:rsidR="00104CDA" w:rsidRPr="00C2692A">
              <w:rPr>
                <w:rFonts w:eastAsia="Times New Roman" w:cs="Times New Roman"/>
                <w:color w:val="000000"/>
                <w:sz w:val="20"/>
                <w:szCs w:val="20"/>
                <w:lang w:eastAsia="en-GB"/>
              </w:rPr>
              <w:t xml:space="preserve"> </w:t>
            </w:r>
            <w:r w:rsidRPr="00C2692A">
              <w:rPr>
                <w:rFonts w:eastAsia="Times New Roman" w:cs="Times New Roman"/>
                <w:color w:val="000000"/>
                <w:sz w:val="20"/>
                <w:szCs w:val="20"/>
                <w:lang w:eastAsia="en-GB"/>
              </w:rPr>
              <w:t>&amp;</w:t>
            </w:r>
            <w:r w:rsidR="00104CDA" w:rsidRPr="00C2692A">
              <w:rPr>
                <w:rFonts w:eastAsia="Times New Roman" w:cs="Times New Roman"/>
                <w:color w:val="000000"/>
                <w:sz w:val="20"/>
                <w:szCs w:val="20"/>
                <w:lang w:eastAsia="en-GB"/>
              </w:rPr>
              <w:t xml:space="preserve"> </w:t>
            </w:r>
            <w:r w:rsidRPr="00C2692A">
              <w:rPr>
                <w:rFonts w:eastAsia="Times New Roman" w:cs="Times New Roman"/>
                <w:color w:val="000000"/>
                <w:sz w:val="20"/>
                <w:szCs w:val="20"/>
                <w:lang w:eastAsia="en-GB"/>
              </w:rPr>
              <w:t>3</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WSH-IAP-CA-004</w:t>
            </w:r>
          </w:p>
        </w:tc>
        <w:tc>
          <w:tcPr>
            <w:tcW w:w="1648" w:type="pct"/>
            <w:tcBorders>
              <w:top w:val="nil"/>
              <w:left w:val="nil"/>
              <w:bottom w:val="single" w:sz="4" w:space="0" w:color="auto"/>
              <w:right w:val="single" w:sz="4" w:space="0" w:color="auto"/>
            </w:tcBorders>
          </w:tcPr>
          <w:p w:rsidR="001476AD" w:rsidRPr="00C2692A" w:rsidRDefault="0001092C" w:rsidP="00C2692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w:t>
            </w:r>
            <w:r w:rsidR="00104CDA" w:rsidRPr="00C2692A">
              <w:rPr>
                <w:rFonts w:eastAsia="Times New Roman" w:cs="Times New Roman"/>
                <w:color w:val="000000"/>
                <w:sz w:val="20"/>
                <w:szCs w:val="20"/>
                <w:lang w:eastAsia="en-GB"/>
              </w:rPr>
              <w:t>e have updated line 3 to two decimal places as the response to the query had been rounded to one decimal place.</w:t>
            </w:r>
          </w:p>
        </w:tc>
      </w:tr>
      <w:tr w:rsidR="001476AD" w:rsidRPr="00C2692A" w:rsidTr="001476AD">
        <w:trPr>
          <w:trHeight w:val="782"/>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Wn1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Wholesale water treatment (explanatory variables)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Lines 41-48</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WSH-IAP-CA-011</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tc>
      </w:tr>
      <w:tr w:rsidR="001476AD" w:rsidRPr="00C2692A" w:rsidTr="001476AD">
        <w:trPr>
          <w:trHeight w:val="153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WWS1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Wholesale wastewater operating and capital expenditure by business unit including operating leases reclassified under IRSF 16</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22</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WSH-IAP-CA-006</w:t>
            </w:r>
          </w:p>
        </w:tc>
        <w:tc>
          <w:tcPr>
            <w:tcW w:w="1648" w:type="pct"/>
            <w:tcBorders>
              <w:top w:val="nil"/>
              <w:left w:val="nil"/>
              <w:bottom w:val="single" w:sz="4" w:space="0" w:color="auto"/>
              <w:right w:val="single" w:sz="4" w:space="0" w:color="auto"/>
            </w:tcBorders>
          </w:tcPr>
          <w:p w:rsidR="001476AD" w:rsidRPr="002918C8" w:rsidRDefault="002918C8" w:rsidP="00C2692A">
            <w:pPr>
              <w:spacing w:after="0" w:line="240" w:lineRule="auto"/>
              <w:rPr>
                <w:rFonts w:eastAsia="Times New Roman" w:cs="Times New Roman"/>
                <w:color w:val="000000"/>
                <w:sz w:val="20"/>
                <w:szCs w:val="20"/>
                <w:highlight w:val="yellow"/>
                <w:lang w:eastAsia="en-GB"/>
              </w:rPr>
            </w:pPr>
            <w:r>
              <w:rPr>
                <w:rFonts w:eastAsia="Times New Roman" w:cs="Times New Roman"/>
                <w:color w:val="000000"/>
                <w:sz w:val="20"/>
                <w:lang w:eastAsia="en-GB"/>
              </w:rPr>
              <w:t>W</w:t>
            </w:r>
            <w:r w:rsidRPr="002918C8">
              <w:rPr>
                <w:rFonts w:eastAsia="Times New Roman" w:cs="Times New Roman"/>
                <w:color w:val="000000"/>
                <w:sz w:val="20"/>
                <w:lang w:eastAsia="en-GB"/>
              </w:rPr>
              <w:t>e have updated line 22 in the resubmitted tables to align with App 22.</w:t>
            </w:r>
          </w:p>
        </w:tc>
      </w:tr>
      <w:tr w:rsidR="001476AD" w:rsidRPr="00C2692A" w:rsidTr="001476AD">
        <w:trPr>
          <w:trHeight w:val="90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sz w:val="20"/>
                <w:szCs w:val="20"/>
                <w:lang w:eastAsia="en-GB"/>
              </w:rPr>
            </w:pPr>
            <w:r w:rsidRPr="00C2692A">
              <w:rPr>
                <w:rFonts w:eastAsia="Times New Roman" w:cs="Arial"/>
                <w:sz w:val="20"/>
                <w:szCs w:val="20"/>
                <w:lang w:eastAsia="en-GB"/>
              </w:rPr>
              <w:t xml:space="preserve">WWS3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sz w:val="20"/>
                <w:szCs w:val="20"/>
                <w:lang w:eastAsia="en-GB"/>
              </w:rPr>
            </w:pPr>
            <w:r w:rsidRPr="00C2692A">
              <w:rPr>
                <w:rFonts w:eastAsia="Times New Roman" w:cs="Arial"/>
                <w:sz w:val="20"/>
                <w:szCs w:val="20"/>
                <w:lang w:eastAsia="en-GB"/>
              </w:rPr>
              <w:t xml:space="preserve">Wholesale wastewater properties and population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Lines 7 &amp; 11 2017/18</w:t>
            </w:r>
          </w:p>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213CF7">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w:t>
            </w:r>
            <w:r w:rsidR="00B440B3">
              <w:rPr>
                <w:rFonts w:eastAsia="Times New Roman" w:cs="Times New Roman"/>
                <w:color w:val="000000"/>
                <w:sz w:val="20"/>
                <w:szCs w:val="20"/>
                <w:lang w:eastAsia="en-GB"/>
              </w:rPr>
              <w:t>s</w:t>
            </w:r>
            <w:r w:rsidRPr="00C2692A">
              <w:rPr>
                <w:rFonts w:eastAsia="Times New Roman" w:cs="Times New Roman"/>
                <w:color w:val="000000"/>
                <w:sz w:val="20"/>
                <w:szCs w:val="20"/>
                <w:lang w:eastAsia="en-GB"/>
              </w:rPr>
              <w:t xml:space="preserve"> </w:t>
            </w:r>
            <w:r w:rsidR="00B440B3">
              <w:rPr>
                <w:rFonts w:eastAsia="Times New Roman" w:cs="Times New Roman"/>
                <w:color w:val="000000"/>
                <w:sz w:val="20"/>
                <w:szCs w:val="20"/>
                <w:lang w:eastAsia="en-GB"/>
              </w:rPr>
              <w:t xml:space="preserve">6 &amp; 7 </w:t>
            </w:r>
            <w:r w:rsidRPr="00C2692A">
              <w:rPr>
                <w:rFonts w:eastAsia="Times New Roman" w:cs="Times New Roman"/>
                <w:color w:val="000000"/>
                <w:sz w:val="20"/>
                <w:szCs w:val="20"/>
                <w:lang w:eastAsia="en-GB"/>
              </w:rPr>
              <w:t xml:space="preserve">2018/19 to </w:t>
            </w:r>
            <w:r w:rsidR="00C2692A" w:rsidRPr="00C2692A">
              <w:rPr>
                <w:rFonts w:eastAsia="Times New Roman" w:cs="Times New Roman"/>
                <w:color w:val="000000"/>
                <w:sz w:val="20"/>
                <w:szCs w:val="20"/>
                <w:lang w:eastAsia="en-GB"/>
              </w:rPr>
              <w:t>2029/3</w:t>
            </w:r>
            <w:r w:rsidR="00104CDA" w:rsidRPr="00C2692A">
              <w:rPr>
                <w:rFonts w:eastAsia="Times New Roman" w:cs="Times New Roman"/>
                <w:color w:val="000000"/>
                <w:sz w:val="20"/>
                <w:szCs w:val="20"/>
                <w:lang w:eastAsia="en-GB"/>
              </w:rPr>
              <w:t>0</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WSH-IAP-CA-012</w:t>
            </w:r>
          </w:p>
          <w:p w:rsidR="001476AD" w:rsidRPr="00C2692A" w:rsidRDefault="001476AD" w:rsidP="00C2692A">
            <w:pPr>
              <w:spacing w:after="0" w:line="240" w:lineRule="auto"/>
              <w:rPr>
                <w:rFonts w:eastAsia="Times New Roman" w:cs="Times New Roman"/>
                <w:color w:val="000000"/>
                <w:sz w:val="20"/>
                <w:szCs w:val="20"/>
                <w:lang w:eastAsia="en-GB"/>
              </w:rPr>
            </w:pPr>
          </w:p>
          <w:p w:rsidR="001476AD" w:rsidRPr="00C2692A" w:rsidRDefault="001476AD" w:rsidP="00C2692A">
            <w:pPr>
              <w:spacing w:after="0" w:line="240" w:lineRule="auto"/>
              <w:rPr>
                <w:rFonts w:eastAsia="Times New Roman" w:cs="Times New Roman"/>
                <w:color w:val="000000"/>
                <w:sz w:val="20"/>
                <w:szCs w:val="20"/>
                <w:lang w:eastAsia="en-GB"/>
              </w:rPr>
            </w:pP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p w:rsidR="00104CDA" w:rsidRPr="00C2692A" w:rsidRDefault="00104CDA" w:rsidP="00C2692A">
            <w:pPr>
              <w:spacing w:after="0" w:line="240" w:lineRule="auto"/>
              <w:rPr>
                <w:rFonts w:eastAsia="Times New Roman" w:cs="Times New Roman"/>
                <w:color w:val="000000"/>
                <w:sz w:val="20"/>
                <w:szCs w:val="20"/>
                <w:lang w:eastAsia="en-GB"/>
              </w:rPr>
            </w:pPr>
          </w:p>
          <w:p w:rsidR="00B440B3" w:rsidRDefault="00B440B3" w:rsidP="00B44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We have updated both lines 6 and 7 subsequent to our </w:t>
            </w:r>
            <w:r w:rsidR="00C2692A" w:rsidRPr="00C2692A">
              <w:rPr>
                <w:rFonts w:eastAsia="Times New Roman" w:cs="Times New Roman"/>
                <w:color w:val="000000"/>
                <w:sz w:val="20"/>
                <w:szCs w:val="20"/>
                <w:lang w:eastAsia="en-GB"/>
              </w:rPr>
              <w:t xml:space="preserve">response to </w:t>
            </w:r>
            <w:r>
              <w:rPr>
                <w:rFonts w:eastAsia="Times New Roman" w:cs="Times New Roman"/>
                <w:color w:val="000000"/>
                <w:sz w:val="20"/>
                <w:szCs w:val="20"/>
                <w:lang w:eastAsia="en-GB"/>
              </w:rPr>
              <w:t xml:space="preserve">WSH-IAP-CA-012. Both </w:t>
            </w:r>
            <w:r w:rsidR="00C2692A" w:rsidRPr="00C2692A">
              <w:rPr>
                <w:rFonts w:eastAsia="Times New Roman" w:cs="Times New Roman"/>
                <w:color w:val="000000"/>
                <w:sz w:val="20"/>
                <w:szCs w:val="20"/>
                <w:lang w:eastAsia="en-GB"/>
              </w:rPr>
              <w:t>line</w:t>
            </w:r>
            <w:r>
              <w:rPr>
                <w:rFonts w:eastAsia="Times New Roman" w:cs="Times New Roman"/>
                <w:color w:val="000000"/>
                <w:sz w:val="20"/>
                <w:szCs w:val="20"/>
                <w:lang w:eastAsia="en-GB"/>
              </w:rPr>
              <w:t>s need</w:t>
            </w:r>
            <w:r w:rsidR="00C2692A" w:rsidRPr="00C2692A">
              <w:rPr>
                <w:rFonts w:eastAsia="Times New Roman" w:cs="Times New Roman"/>
                <w:color w:val="000000"/>
                <w:sz w:val="20"/>
                <w:szCs w:val="20"/>
                <w:lang w:eastAsia="en-GB"/>
              </w:rPr>
              <w:t xml:space="preserve"> to be changed to align to the data definition as well as the 2017/18 value.</w:t>
            </w:r>
            <w:r>
              <w:rPr>
                <w:rFonts w:eastAsia="Times New Roman" w:cs="Times New Roman"/>
                <w:color w:val="000000"/>
                <w:sz w:val="20"/>
                <w:szCs w:val="20"/>
                <w:lang w:eastAsia="en-GB"/>
              </w:rPr>
              <w:t xml:space="preserve"> </w:t>
            </w:r>
            <w:r w:rsidR="00C2692A" w:rsidRPr="00C2692A">
              <w:rPr>
                <w:rFonts w:eastAsia="Times New Roman" w:cs="Times New Roman"/>
                <w:color w:val="000000"/>
                <w:sz w:val="20"/>
                <w:szCs w:val="20"/>
                <w:lang w:eastAsia="en-GB"/>
              </w:rPr>
              <w:t>We have now done this in the revised submission.</w:t>
            </w:r>
            <w:r>
              <w:rPr>
                <w:rFonts w:eastAsia="Times New Roman" w:cs="Times New Roman"/>
                <w:color w:val="000000"/>
                <w:sz w:val="20"/>
                <w:szCs w:val="20"/>
                <w:lang w:eastAsia="en-GB"/>
              </w:rPr>
              <w:t xml:space="preserve"> </w:t>
            </w:r>
          </w:p>
          <w:p w:rsidR="001476AD" w:rsidRPr="00C2692A" w:rsidRDefault="00B440B3" w:rsidP="00B44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The numbers also align to the billed properties in R4. The difference between WWS3 and R4 is that R4 includes trade effluent customers.</w:t>
            </w:r>
          </w:p>
        </w:tc>
      </w:tr>
      <w:tr w:rsidR="001476AD" w:rsidRPr="00C2692A" w:rsidTr="001476AD">
        <w:trPr>
          <w:trHeight w:val="1020"/>
        </w:trPr>
        <w:tc>
          <w:tcPr>
            <w:tcW w:w="533" w:type="pct"/>
            <w:tcBorders>
              <w:top w:val="nil"/>
              <w:left w:val="single" w:sz="4" w:space="0" w:color="auto"/>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WWn4 </w:t>
            </w:r>
          </w:p>
        </w:tc>
        <w:tc>
          <w:tcPr>
            <w:tcW w:w="990"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Arial"/>
                <w:color w:val="000000"/>
                <w:sz w:val="20"/>
                <w:szCs w:val="20"/>
                <w:lang w:eastAsia="en-GB"/>
              </w:rPr>
            </w:pPr>
            <w:r w:rsidRPr="00C2692A">
              <w:rPr>
                <w:rFonts w:eastAsia="Times New Roman" w:cs="Arial"/>
                <w:color w:val="000000"/>
                <w:sz w:val="20"/>
                <w:szCs w:val="20"/>
                <w:lang w:eastAsia="en-GB"/>
              </w:rPr>
              <w:t xml:space="preserve">Wholesale wastewater sewage treatment (potential explanatory variables) </w:t>
            </w:r>
          </w:p>
        </w:tc>
        <w:tc>
          <w:tcPr>
            <w:tcW w:w="1016"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Line 18 for 2017/18</w:t>
            </w:r>
          </w:p>
        </w:tc>
        <w:tc>
          <w:tcPr>
            <w:tcW w:w="813" w:type="pct"/>
            <w:tcBorders>
              <w:top w:val="nil"/>
              <w:left w:val="nil"/>
              <w:bottom w:val="single" w:sz="4" w:space="0" w:color="auto"/>
              <w:right w:val="single" w:sz="4" w:space="0" w:color="auto"/>
            </w:tcBorders>
            <w:shd w:val="clear" w:color="auto" w:fill="auto"/>
            <w:hideMark/>
          </w:tcPr>
          <w:p w:rsidR="001476AD" w:rsidRPr="00C2692A" w:rsidRDefault="001476AD" w:rsidP="00C2692A">
            <w:pPr>
              <w:spacing w:after="0" w:line="240" w:lineRule="auto"/>
              <w:rPr>
                <w:rFonts w:eastAsia="Times New Roman" w:cs="Times New Roman"/>
                <w:color w:val="000000"/>
                <w:sz w:val="20"/>
                <w:szCs w:val="20"/>
                <w:lang w:eastAsia="en-GB"/>
              </w:rPr>
            </w:pPr>
            <w:r w:rsidRPr="00C2692A">
              <w:rPr>
                <w:rFonts w:eastAsia="Times New Roman" w:cs="Times New Roman"/>
                <w:color w:val="000000"/>
                <w:sz w:val="20"/>
                <w:szCs w:val="20"/>
                <w:lang w:eastAsia="en-GB"/>
              </w:rPr>
              <w:t>WSH-IAP-CA-013</w:t>
            </w:r>
          </w:p>
        </w:tc>
        <w:tc>
          <w:tcPr>
            <w:tcW w:w="1648" w:type="pct"/>
            <w:tcBorders>
              <w:top w:val="nil"/>
              <w:left w:val="nil"/>
              <w:bottom w:val="single" w:sz="4" w:space="0" w:color="auto"/>
              <w:right w:val="single" w:sz="4" w:space="0" w:color="auto"/>
            </w:tcBorders>
          </w:tcPr>
          <w:p w:rsidR="001476AD" w:rsidRPr="00C2692A" w:rsidRDefault="001476AD" w:rsidP="00C2692A">
            <w:pPr>
              <w:spacing w:after="0" w:line="240" w:lineRule="auto"/>
              <w:rPr>
                <w:rFonts w:eastAsia="Times New Roman" w:cs="Times New Roman"/>
                <w:color w:val="000000"/>
                <w:sz w:val="20"/>
                <w:szCs w:val="20"/>
                <w:lang w:eastAsia="en-GB"/>
              </w:rPr>
            </w:pPr>
          </w:p>
        </w:tc>
      </w:tr>
    </w:tbl>
    <w:p w:rsidR="00152444" w:rsidRDefault="00152444"/>
    <w:sectPr w:rsidR="00152444" w:rsidSect="002B7E38">
      <w:headerReference w:type="default" r:id="rId8"/>
      <w:footerReference w:type="default" r:id="rId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8D" w:rsidRDefault="004C038D" w:rsidP="004C038D">
      <w:pPr>
        <w:spacing w:after="0" w:line="240" w:lineRule="auto"/>
      </w:pPr>
      <w:r>
        <w:separator/>
      </w:r>
    </w:p>
  </w:endnote>
  <w:endnote w:type="continuationSeparator" w:id="0">
    <w:p w:rsidR="004C038D" w:rsidRDefault="004C038D" w:rsidP="004C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7651962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4C038D" w:rsidRPr="004C038D" w:rsidRDefault="00F97F55">
            <w:pPr>
              <w:pStyle w:val="Footer"/>
              <w:jc w:val="center"/>
              <w:rPr>
                <w:sz w:val="18"/>
                <w:szCs w:val="18"/>
              </w:rPr>
            </w:pPr>
            <w:r>
              <w:rPr>
                <w:noProof/>
                <w:sz w:val="18"/>
                <w:lang w:eastAsia="en-GB"/>
              </w:rPr>
              <mc:AlternateContent>
                <mc:Choice Requires="wps">
                  <w:drawing>
                    <wp:anchor distT="0" distB="0" distL="114300" distR="114300" simplePos="0" relativeHeight="251661312" behindDoc="0" locked="0" layoutInCell="1" allowOverlap="1" wp14:anchorId="34480DD0" wp14:editId="4B46AB98">
                      <wp:simplePos x="0" y="0"/>
                      <wp:positionH relativeFrom="column">
                        <wp:posOffset>-47625</wp:posOffset>
                      </wp:positionH>
                      <wp:positionV relativeFrom="paragraph">
                        <wp:posOffset>-85725</wp:posOffset>
                      </wp:positionV>
                      <wp:extent cx="8953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1A1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6.75pt" to="70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u5zwEAAAMEAAAOAAAAZHJzL2Uyb0RvYy54bWysU01vEzEQvSPxHyzfyW5SFZ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" strokecolor="black [3213]" strokeweight=".5pt">
                      <v:stroke joinstyle="miter"/>
                    </v:line>
                  </w:pict>
                </mc:Fallback>
              </mc:AlternateContent>
            </w:r>
            <w:r w:rsidR="004C038D" w:rsidRPr="004C038D">
              <w:rPr>
                <w:sz w:val="18"/>
                <w:szCs w:val="18"/>
              </w:rPr>
              <w:t xml:space="preserve">Page </w:t>
            </w:r>
            <w:r w:rsidR="004C038D" w:rsidRPr="004C038D">
              <w:rPr>
                <w:bCs/>
                <w:sz w:val="18"/>
                <w:szCs w:val="18"/>
              </w:rPr>
              <w:fldChar w:fldCharType="begin"/>
            </w:r>
            <w:r w:rsidR="004C038D" w:rsidRPr="004C038D">
              <w:rPr>
                <w:bCs/>
                <w:sz w:val="18"/>
                <w:szCs w:val="18"/>
              </w:rPr>
              <w:instrText xml:space="preserve"> PAGE </w:instrText>
            </w:r>
            <w:r w:rsidR="004C038D" w:rsidRPr="004C038D">
              <w:rPr>
                <w:bCs/>
                <w:sz w:val="18"/>
                <w:szCs w:val="18"/>
              </w:rPr>
              <w:fldChar w:fldCharType="separate"/>
            </w:r>
            <w:r w:rsidR="00DA3A19">
              <w:rPr>
                <w:bCs/>
                <w:noProof/>
                <w:sz w:val="18"/>
                <w:szCs w:val="18"/>
              </w:rPr>
              <w:t>2</w:t>
            </w:r>
            <w:r w:rsidR="004C038D" w:rsidRPr="004C038D">
              <w:rPr>
                <w:bCs/>
                <w:sz w:val="18"/>
                <w:szCs w:val="18"/>
              </w:rPr>
              <w:fldChar w:fldCharType="end"/>
            </w:r>
            <w:r w:rsidR="004C038D" w:rsidRPr="004C038D">
              <w:rPr>
                <w:sz w:val="18"/>
                <w:szCs w:val="18"/>
              </w:rPr>
              <w:t xml:space="preserve"> of </w:t>
            </w:r>
            <w:r w:rsidR="004C038D" w:rsidRPr="004C038D">
              <w:rPr>
                <w:bCs/>
                <w:sz w:val="18"/>
                <w:szCs w:val="18"/>
              </w:rPr>
              <w:fldChar w:fldCharType="begin"/>
            </w:r>
            <w:r w:rsidR="004C038D" w:rsidRPr="004C038D">
              <w:rPr>
                <w:bCs/>
                <w:sz w:val="18"/>
                <w:szCs w:val="18"/>
              </w:rPr>
              <w:instrText xml:space="preserve"> NUMPAGES  </w:instrText>
            </w:r>
            <w:r w:rsidR="004C038D" w:rsidRPr="004C038D">
              <w:rPr>
                <w:bCs/>
                <w:sz w:val="18"/>
                <w:szCs w:val="18"/>
              </w:rPr>
              <w:fldChar w:fldCharType="separate"/>
            </w:r>
            <w:r w:rsidR="00DA3A19">
              <w:rPr>
                <w:bCs/>
                <w:noProof/>
                <w:sz w:val="18"/>
                <w:szCs w:val="18"/>
              </w:rPr>
              <w:t>3</w:t>
            </w:r>
            <w:r w:rsidR="004C038D" w:rsidRPr="004C038D">
              <w:rPr>
                <w:bCs/>
                <w:sz w:val="18"/>
                <w:szCs w:val="18"/>
              </w:rPr>
              <w:fldChar w:fldCharType="end"/>
            </w:r>
          </w:p>
        </w:sdtContent>
      </w:sdt>
    </w:sdtContent>
  </w:sdt>
  <w:p w:rsidR="004C038D" w:rsidRDefault="004C038D" w:rsidP="004C038D">
    <w:pPr>
      <w:pStyle w:val="Footer"/>
      <w:tabs>
        <w:tab w:val="clear" w:pos="4513"/>
        <w:tab w:val="center" w:pos="7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8D" w:rsidRDefault="004C038D" w:rsidP="004C038D">
      <w:pPr>
        <w:spacing w:after="0" w:line="240" w:lineRule="auto"/>
      </w:pPr>
      <w:r>
        <w:separator/>
      </w:r>
    </w:p>
  </w:footnote>
  <w:footnote w:type="continuationSeparator" w:id="0">
    <w:p w:rsidR="004C038D" w:rsidRDefault="004C038D" w:rsidP="004C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8D" w:rsidRPr="004C038D" w:rsidRDefault="004C038D" w:rsidP="004C038D">
    <w:pPr>
      <w:pStyle w:val="Header"/>
      <w:tabs>
        <w:tab w:val="clear" w:pos="9026"/>
        <w:tab w:val="right" w:pos="13892"/>
      </w:tabs>
      <w:rPr>
        <w:sz w:val="18"/>
      </w:rPr>
    </w:pPr>
    <w:r w:rsidRPr="004C038D">
      <w:rPr>
        <w:sz w:val="18"/>
      </w:rPr>
      <w:t xml:space="preserve">PR19 updated business plan tables </w:t>
    </w:r>
    <w:r w:rsidRPr="004C038D">
      <w:rPr>
        <w:sz w:val="18"/>
      </w:rPr>
      <w:tab/>
    </w:r>
    <w:r w:rsidRPr="004C038D">
      <w:rPr>
        <w:sz w:val="18"/>
      </w:rPr>
      <w:tab/>
      <w:t>Welsh Water</w:t>
    </w:r>
  </w:p>
  <w:p w:rsidR="004C038D" w:rsidRPr="004C038D" w:rsidRDefault="00F97F55" w:rsidP="004C038D">
    <w:pPr>
      <w:pStyle w:val="Header"/>
      <w:tabs>
        <w:tab w:val="clear" w:pos="9026"/>
        <w:tab w:val="right" w:pos="13892"/>
      </w:tabs>
      <w:rPr>
        <w:sz w:val="18"/>
      </w:rPr>
    </w:pPr>
    <w:r>
      <w:rPr>
        <w:noProof/>
        <w:sz w:val="18"/>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201295</wp:posOffset>
              </wp:positionV>
              <wp:extent cx="895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534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85pt" to="70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" strokecolor="black [3213]" strokeweight=".5pt">
              <v:stroke joinstyle="miter"/>
            </v:line>
          </w:pict>
        </mc:Fallback>
      </mc:AlternateContent>
    </w:r>
    <w:r w:rsidR="004C038D" w:rsidRPr="004C038D">
      <w:rPr>
        <w:sz w:val="18"/>
      </w:rPr>
      <w:t>28 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6641"/>
    <w:multiLevelType w:val="hybridMultilevel"/>
    <w:tmpl w:val="777ADEA2"/>
    <w:lvl w:ilvl="0" w:tplc="BCF819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AC"/>
    <w:rsid w:val="0001092C"/>
    <w:rsid w:val="00104CDA"/>
    <w:rsid w:val="001476AD"/>
    <w:rsid w:val="00152444"/>
    <w:rsid w:val="00197B84"/>
    <w:rsid w:val="00213CF7"/>
    <w:rsid w:val="002918C8"/>
    <w:rsid w:val="002B7E38"/>
    <w:rsid w:val="003016AC"/>
    <w:rsid w:val="00354DC4"/>
    <w:rsid w:val="004C038D"/>
    <w:rsid w:val="00527AC6"/>
    <w:rsid w:val="007178FF"/>
    <w:rsid w:val="007278CD"/>
    <w:rsid w:val="008F1CC0"/>
    <w:rsid w:val="00B440B3"/>
    <w:rsid w:val="00C2692A"/>
    <w:rsid w:val="00CC6B4C"/>
    <w:rsid w:val="00D51DDF"/>
    <w:rsid w:val="00DA3A19"/>
    <w:rsid w:val="00F9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6EF3829-85AA-45E8-9230-A3E43ED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6AC"/>
    <w:rPr>
      <w:color w:val="0563C1"/>
      <w:u w:val="single"/>
    </w:rPr>
  </w:style>
  <w:style w:type="paragraph" w:styleId="BalloonText">
    <w:name w:val="Balloon Text"/>
    <w:basedOn w:val="Normal"/>
    <w:link w:val="BalloonTextChar"/>
    <w:uiPriority w:val="99"/>
    <w:semiHidden/>
    <w:unhideWhenUsed/>
    <w:rsid w:val="0014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D"/>
    <w:rPr>
      <w:rFonts w:ascii="Segoe UI" w:hAnsi="Segoe UI" w:cs="Segoe UI"/>
      <w:sz w:val="18"/>
      <w:szCs w:val="18"/>
    </w:rPr>
  </w:style>
  <w:style w:type="paragraph" w:styleId="ListParagraph">
    <w:name w:val="List Paragraph"/>
    <w:basedOn w:val="Normal"/>
    <w:uiPriority w:val="34"/>
    <w:qFormat/>
    <w:rsid w:val="00C2692A"/>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C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38D"/>
  </w:style>
  <w:style w:type="paragraph" w:styleId="Footer">
    <w:name w:val="footer"/>
    <w:basedOn w:val="Normal"/>
    <w:link w:val="FooterChar"/>
    <w:uiPriority w:val="99"/>
    <w:unhideWhenUsed/>
    <w:rsid w:val="004C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4828">
      <w:bodyDiv w:val="1"/>
      <w:marLeft w:val="0"/>
      <w:marRight w:val="0"/>
      <w:marTop w:val="0"/>
      <w:marBottom w:val="0"/>
      <w:divBdr>
        <w:top w:val="none" w:sz="0" w:space="0" w:color="auto"/>
        <w:left w:val="none" w:sz="0" w:space="0" w:color="auto"/>
        <w:bottom w:val="none" w:sz="0" w:space="0" w:color="auto"/>
        <w:right w:val="none" w:sz="0" w:space="0" w:color="auto"/>
      </w:divBdr>
    </w:div>
    <w:div w:id="275333251">
      <w:bodyDiv w:val="1"/>
      <w:marLeft w:val="0"/>
      <w:marRight w:val="0"/>
      <w:marTop w:val="0"/>
      <w:marBottom w:val="0"/>
      <w:divBdr>
        <w:top w:val="none" w:sz="0" w:space="0" w:color="auto"/>
        <w:left w:val="none" w:sz="0" w:space="0" w:color="auto"/>
        <w:bottom w:val="none" w:sz="0" w:space="0" w:color="auto"/>
        <w:right w:val="none" w:sz="0" w:space="0" w:color="auto"/>
      </w:divBdr>
    </w:div>
    <w:div w:id="582685427">
      <w:bodyDiv w:val="1"/>
      <w:marLeft w:val="0"/>
      <w:marRight w:val="0"/>
      <w:marTop w:val="0"/>
      <w:marBottom w:val="0"/>
      <w:divBdr>
        <w:top w:val="none" w:sz="0" w:space="0" w:color="auto"/>
        <w:left w:val="none" w:sz="0" w:space="0" w:color="auto"/>
        <w:bottom w:val="none" w:sz="0" w:space="0" w:color="auto"/>
        <w:right w:val="none" w:sz="0" w:space="0" w:color="auto"/>
      </w:divBdr>
    </w:div>
    <w:div w:id="916286864">
      <w:bodyDiv w:val="1"/>
      <w:marLeft w:val="0"/>
      <w:marRight w:val="0"/>
      <w:marTop w:val="0"/>
      <w:marBottom w:val="0"/>
      <w:divBdr>
        <w:top w:val="none" w:sz="0" w:space="0" w:color="auto"/>
        <w:left w:val="none" w:sz="0" w:space="0" w:color="auto"/>
        <w:bottom w:val="none" w:sz="0" w:space="0" w:color="auto"/>
        <w:right w:val="none" w:sz="0" w:space="0" w:color="auto"/>
      </w:divBdr>
    </w:div>
    <w:div w:id="1721518579">
      <w:bodyDiv w:val="1"/>
      <w:marLeft w:val="0"/>
      <w:marRight w:val="0"/>
      <w:marTop w:val="0"/>
      <w:marBottom w:val="0"/>
      <w:divBdr>
        <w:top w:val="none" w:sz="0" w:space="0" w:color="auto"/>
        <w:left w:val="none" w:sz="0" w:space="0" w:color="auto"/>
        <w:bottom w:val="none" w:sz="0" w:space="0" w:color="auto"/>
        <w:right w:val="none" w:sz="0" w:space="0" w:color="auto"/>
      </w:divBdr>
    </w:div>
    <w:div w:id="20430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t007252\AppData\Local\Microsoft\Windows\Temporary%20Internet%20Files\Content.MSO\D174700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Dominique</dc:creator>
  <cp:keywords/>
  <dc:description/>
  <cp:lastModifiedBy>Parkes Bethany</cp:lastModifiedBy>
  <cp:revision>5</cp:revision>
  <cp:lastPrinted>2018-09-27T16:39:00Z</cp:lastPrinted>
  <dcterms:created xsi:type="dcterms:W3CDTF">2018-09-28T07:24:00Z</dcterms:created>
  <dcterms:modified xsi:type="dcterms:W3CDTF">2018-09-28T09:19:00Z</dcterms:modified>
</cp:coreProperties>
</file>